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Professor Osmar Stuart.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Professor Osmar Stuart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026/2015.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highlight w:val="white"/>
          <w:u w:val="none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 da Natureza -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 da Natureza -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o 4º Ano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o 1º, 2º, 3º, 4º e 5º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17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1675" cy="8667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93" l="-495" r="-495" t="-1094"/>
                  <a:stretch>
                    <a:fillRect/>
                  </a:stretch>
                </pic:blipFill>
                <pic:spPr>
                  <a:xfrm>
                    <a:off x="0" y="0"/>
                    <a:ext cx="19716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